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黑体" w:hAnsi="宋体" w:eastAsia="黑体"/>
          <w:b/>
          <w:sz w:val="24"/>
        </w:rPr>
      </w:pPr>
      <w:bookmarkStart w:id="3" w:name="_GoBack"/>
      <w:bookmarkEnd w:id="3"/>
      <w:bookmarkStart w:id="0" w:name="OLE_LINK2"/>
      <w:bookmarkStart w:id="1" w:name="OLE_LINK1"/>
    </w:p>
    <w:p>
      <w:pPr>
        <w:spacing w:line="360" w:lineRule="exact"/>
        <w:rPr>
          <w:rFonts w:hint="eastAsia" w:ascii="黑体" w:hAnsi="宋体" w:eastAsia="黑体"/>
          <w:b/>
          <w:sz w:val="24"/>
        </w:rPr>
      </w:pPr>
    </w:p>
    <w:p>
      <w:pPr>
        <w:spacing w:line="360" w:lineRule="exact"/>
        <w:rPr>
          <w:rFonts w:ascii="黑体" w:eastAsia="黑体"/>
          <w:bCs/>
          <w:sz w:val="24"/>
        </w:rPr>
      </w:pPr>
      <w:r>
        <w:rPr>
          <w:rFonts w:hint="eastAsia" w:ascii="黑体" w:hAnsi="宋体" w:eastAsia="黑体"/>
          <w:bCs/>
          <w:sz w:val="24"/>
        </w:rPr>
        <w:t>附件：第四届中国大连神经科学高峰论坛（</w:t>
      </w:r>
      <w:r>
        <w:rPr>
          <w:rFonts w:hint="eastAsia" w:ascii="黑体" w:eastAsia="黑体"/>
          <w:bCs/>
          <w:sz w:val="24"/>
        </w:rPr>
        <w:t>4</w:t>
      </w:r>
      <w:r>
        <w:rPr>
          <w:rFonts w:hint="eastAsia" w:ascii="黑体" w:eastAsia="黑体"/>
          <w:bCs/>
          <w:sz w:val="24"/>
          <w:vertAlign w:val="superscript"/>
        </w:rPr>
        <w:t>th</w:t>
      </w:r>
      <w:r>
        <w:rPr>
          <w:rFonts w:hint="eastAsia" w:ascii="黑体" w:eastAsia="黑体"/>
          <w:bCs/>
          <w:sz w:val="24"/>
        </w:rPr>
        <w:t xml:space="preserve"> Neuroscience Summit· Dalian 2017）</w:t>
      </w:r>
      <w:bookmarkEnd w:id="0"/>
      <w:bookmarkEnd w:id="1"/>
      <w:r>
        <w:rPr>
          <w:rFonts w:hint="eastAsia" w:ascii="黑体" w:hAnsi="宋体" w:eastAsia="黑体"/>
          <w:sz w:val="24"/>
        </w:rPr>
        <w:t>（会议通知）</w:t>
      </w:r>
    </w:p>
    <w:p>
      <w:pPr>
        <w:rPr>
          <w:sz w:val="24"/>
        </w:rPr>
      </w:pPr>
    </w:p>
    <w:p>
      <w:pPr>
        <w:spacing w:line="360" w:lineRule="exact"/>
        <w:ind w:firstLine="480" w:firstLineChars="200"/>
        <w:rPr>
          <w:rFonts w:hAnsi="宋体"/>
          <w:kern w:val="0"/>
          <w:sz w:val="24"/>
        </w:rPr>
      </w:pPr>
      <w:bookmarkStart w:id="2" w:name="OLE_LINK9"/>
      <w:r>
        <w:rPr>
          <w:rFonts w:hint="eastAsia" w:hAnsi="宋体"/>
          <w:kern w:val="0"/>
          <w:sz w:val="24"/>
        </w:rPr>
        <w:t>第四届中国</w:t>
      </w:r>
      <w:r>
        <w:rPr>
          <w:rFonts w:hint="eastAsia" w:hAnsi="宋体"/>
          <w:bCs/>
          <w:kern w:val="0"/>
          <w:sz w:val="24"/>
        </w:rPr>
        <w:t>大连神经科学高峰论坛</w:t>
      </w:r>
      <w:r>
        <w:rPr>
          <w:rFonts w:hint="eastAsia" w:hAnsi="宋体"/>
          <w:kern w:val="0"/>
          <w:sz w:val="24"/>
        </w:rPr>
        <w:t>（</w:t>
      </w:r>
      <w:r>
        <w:rPr>
          <w:rFonts w:hint="eastAsia" w:hAnsi="宋体"/>
          <w:bCs/>
          <w:kern w:val="0"/>
          <w:sz w:val="24"/>
        </w:rPr>
        <w:t>4</w:t>
      </w:r>
      <w:r>
        <w:rPr>
          <w:rFonts w:hint="eastAsia" w:hAnsi="宋体"/>
          <w:bCs/>
          <w:kern w:val="0"/>
          <w:sz w:val="24"/>
          <w:vertAlign w:val="superscript"/>
        </w:rPr>
        <w:t>th</w:t>
      </w:r>
      <w:r>
        <w:rPr>
          <w:rFonts w:hint="eastAsia" w:hAnsi="宋体"/>
          <w:bCs/>
          <w:kern w:val="0"/>
          <w:sz w:val="24"/>
        </w:rPr>
        <w:t xml:space="preserve"> Neuroscience Summit· Dalian</w:t>
      </w:r>
      <w:r>
        <w:rPr>
          <w:rFonts w:hint="eastAsia" w:hAnsi="宋体"/>
          <w:kern w:val="0"/>
          <w:sz w:val="24"/>
        </w:rPr>
        <w:t>）将于</w:t>
      </w:r>
      <w:r>
        <w:rPr>
          <w:b/>
          <w:kern w:val="0"/>
          <w:sz w:val="24"/>
        </w:rPr>
        <w:t>2017</w:t>
      </w:r>
      <w:r>
        <w:rPr>
          <w:rFonts w:hint="eastAsia" w:hAnsi="宋体"/>
          <w:b/>
          <w:kern w:val="0"/>
          <w:sz w:val="24"/>
        </w:rPr>
        <w:t>年</w:t>
      </w:r>
      <w:r>
        <w:rPr>
          <w:b/>
          <w:kern w:val="0"/>
          <w:sz w:val="24"/>
        </w:rPr>
        <w:t>9</w:t>
      </w:r>
      <w:r>
        <w:rPr>
          <w:rFonts w:hint="eastAsia" w:hAnsi="宋体"/>
          <w:b/>
          <w:kern w:val="0"/>
          <w:sz w:val="24"/>
        </w:rPr>
        <w:t>月</w:t>
      </w:r>
      <w:r>
        <w:rPr>
          <w:b/>
          <w:kern w:val="0"/>
          <w:sz w:val="24"/>
        </w:rPr>
        <w:t>6</w:t>
      </w:r>
      <w:r>
        <w:rPr>
          <w:rFonts w:hint="eastAsia" w:hAnsi="宋体"/>
          <w:b/>
          <w:kern w:val="0"/>
          <w:sz w:val="24"/>
        </w:rPr>
        <w:t>日在大连香洲花园酒店召开</w:t>
      </w:r>
      <w:bookmarkEnd w:id="2"/>
      <w:r>
        <w:rPr>
          <w:rFonts w:hint="eastAsia" w:hAnsi="宋体"/>
          <w:kern w:val="0"/>
          <w:sz w:val="24"/>
        </w:rPr>
        <w:t>。本次会议由</w:t>
      </w:r>
      <w:r>
        <w:rPr>
          <w:rFonts w:hint="eastAsia" w:hAnsi="宋体"/>
          <w:bCs/>
          <w:kern w:val="0"/>
          <w:sz w:val="24"/>
        </w:rPr>
        <w:t>大连医科大学及附属第一医院主办，辽宁省神经系统重大疾病发病机制研究重点实验室和辽宁省神经系统疾病临床医学研究中心承办，大连医科大学附属第二医院协办。大会旨在促进中国神经科学的发展，推动国内、外合作与交流。会议汇集了来自美国贝勒医学院、加拿大汤森老年痴呆症研究中心、北京大学、同济大学、复旦大学、华中科技大学、中国科学院、青岛大学、首都医科大学、中国医科大学等单位的神经科学和神经病学顶尖专家，现</w:t>
      </w:r>
      <w:r>
        <w:rPr>
          <w:rFonts w:hint="eastAsia" w:hAnsi="宋体"/>
          <w:kern w:val="0"/>
          <w:sz w:val="24"/>
        </w:rPr>
        <w:t>诚挚地邀请从事神经科学和神经病学的科技工作者、临床医生和研究生踊跃参会。</w:t>
      </w:r>
    </w:p>
    <w:p>
      <w:pPr>
        <w:spacing w:line="360" w:lineRule="exact"/>
        <w:ind w:firstLine="480" w:firstLineChars="200"/>
        <w:rPr>
          <w:rFonts w:hAnsi="宋体"/>
          <w:kern w:val="0"/>
          <w:sz w:val="24"/>
        </w:rPr>
      </w:pPr>
    </w:p>
    <w:p>
      <w:pPr>
        <w:pStyle w:val="2"/>
        <w:spacing w:line="360" w:lineRule="exact"/>
        <w:rPr>
          <w:rFonts w:ascii="Times New Roman" w:hAnsi="Times New Roman"/>
          <w:sz w:val="24"/>
        </w:rPr>
      </w:pPr>
      <w:r>
        <w:rPr>
          <w:rFonts w:hint="eastAsia" w:ascii="Times New Roman"/>
          <w:b/>
          <w:bCs/>
          <w:sz w:val="24"/>
        </w:rPr>
        <w:t>一、会议时间地点、内容和形式</w:t>
      </w:r>
    </w:p>
    <w:p>
      <w:pPr>
        <w:spacing w:line="360" w:lineRule="exact"/>
        <w:rPr>
          <w:rFonts w:hAnsi="宋体"/>
          <w:bCs/>
          <w:kern w:val="0"/>
          <w:sz w:val="24"/>
        </w:rPr>
      </w:pPr>
      <w:r>
        <w:rPr>
          <w:rFonts w:hint="eastAsia" w:hAnsi="宋体"/>
          <w:bCs/>
          <w:kern w:val="0"/>
          <w:sz w:val="24"/>
        </w:rPr>
        <w:t>1、本会免注册费，所有师生免费参加。</w:t>
      </w:r>
    </w:p>
    <w:p>
      <w:pPr>
        <w:spacing w:line="360" w:lineRule="exact"/>
        <w:rPr>
          <w:rFonts w:hAnsi="宋体"/>
          <w:b/>
          <w:sz w:val="24"/>
        </w:rPr>
      </w:pPr>
      <w:r>
        <w:rPr>
          <w:rFonts w:hint="eastAsia" w:hAnsi="宋体"/>
          <w:bCs/>
          <w:kern w:val="0"/>
          <w:sz w:val="24"/>
        </w:rPr>
        <w:t>2、</w:t>
      </w:r>
      <w:r>
        <w:rPr>
          <w:rFonts w:hint="eastAsia" w:hAnsi="宋体"/>
          <w:sz w:val="24"/>
        </w:rPr>
        <w:t>会议会场设在大连香洲花园酒店南塔牡丹厅。</w:t>
      </w:r>
      <w:r>
        <w:rPr>
          <w:rFonts w:hint="eastAsia" w:hAnsi="宋体"/>
          <w:b/>
          <w:sz w:val="24"/>
        </w:rPr>
        <w:t>报到时间：9月5日下午13:00-17:00，9月6日8:00-12:00；会议时间：9月6日8:00-17:40</w:t>
      </w:r>
    </w:p>
    <w:p>
      <w:pPr>
        <w:spacing w:line="360" w:lineRule="exact"/>
        <w:rPr>
          <w:rFonts w:hAnsi="宋体"/>
          <w:sz w:val="24"/>
        </w:rPr>
      </w:pPr>
      <w:r>
        <w:rPr>
          <w:rFonts w:hint="eastAsia" w:hAnsi="宋体"/>
          <w:sz w:val="24"/>
        </w:rPr>
        <w:t>3、会议的形式为邀请嘉宾的专题报告</w:t>
      </w:r>
    </w:p>
    <w:p>
      <w:pPr>
        <w:spacing w:line="360" w:lineRule="exact"/>
        <w:rPr>
          <w:rFonts w:hAnsi="宋体"/>
          <w:sz w:val="24"/>
        </w:rPr>
      </w:pPr>
    </w:p>
    <w:p>
      <w:pPr>
        <w:spacing w:line="360" w:lineRule="exact"/>
        <w:rPr>
          <w:rFonts w:hAnsi="宋体"/>
          <w:b/>
          <w:bCs/>
          <w:sz w:val="24"/>
        </w:rPr>
      </w:pPr>
      <w:r>
        <w:rPr>
          <w:rFonts w:hint="eastAsia" w:hAnsi="宋体"/>
          <w:b/>
          <w:bCs/>
          <w:sz w:val="24"/>
        </w:rPr>
        <w:t>二、参会嘉宾</w:t>
      </w:r>
    </w:p>
    <w:p>
      <w:pPr>
        <w:spacing w:line="360" w:lineRule="exact"/>
        <w:rPr>
          <w:sz w:val="24"/>
        </w:rPr>
      </w:pPr>
      <w:r>
        <w:rPr>
          <w:rFonts w:hint="eastAsia" w:hAnsi="宋体"/>
          <w:bCs/>
          <w:sz w:val="24"/>
        </w:rPr>
        <w:t>1、</w:t>
      </w:r>
      <w:r>
        <w:rPr>
          <w:b/>
          <w:sz w:val="24"/>
        </w:rPr>
        <w:t>Zaven S. Khachaturian</w:t>
      </w:r>
      <w:r>
        <w:rPr>
          <w:rFonts w:hint="eastAsia"/>
          <w:sz w:val="24"/>
        </w:rPr>
        <w:t xml:space="preserve"> （美国阿尔茨海默病协会高级科学顾问，Alzheimer’s &amp; Dementia 杂志主编）</w:t>
      </w:r>
    </w:p>
    <w:p>
      <w:pPr>
        <w:spacing w:line="360" w:lineRule="exact"/>
        <w:rPr>
          <w:bCs/>
          <w:sz w:val="24"/>
        </w:rPr>
      </w:pPr>
      <w:r>
        <w:rPr>
          <w:rFonts w:hint="eastAsia"/>
          <w:sz w:val="24"/>
        </w:rPr>
        <w:t>2、</w:t>
      </w:r>
      <w:r>
        <w:rPr>
          <w:rFonts w:hint="eastAsia"/>
          <w:b/>
          <w:bCs/>
          <w:sz w:val="24"/>
        </w:rPr>
        <w:t>宋伟宏</w:t>
      </w:r>
      <w:r>
        <w:rPr>
          <w:rFonts w:hint="eastAsia"/>
          <w:bCs/>
          <w:sz w:val="24"/>
        </w:rPr>
        <w:t xml:space="preserve"> （加拿大健康科学院院士、加拿大汤森老年痴呆症研究中心主任、中组部千人计划特聘教授）</w:t>
      </w:r>
    </w:p>
    <w:p>
      <w:pPr>
        <w:spacing w:line="360" w:lineRule="exact"/>
        <w:rPr>
          <w:bCs/>
          <w:sz w:val="24"/>
        </w:rPr>
      </w:pPr>
      <w:r>
        <w:rPr>
          <w:rFonts w:hint="eastAsia"/>
          <w:bCs/>
          <w:sz w:val="24"/>
        </w:rPr>
        <w:t>3、</w:t>
      </w:r>
      <w:r>
        <w:rPr>
          <w:b/>
          <w:bCs/>
          <w:sz w:val="24"/>
        </w:rPr>
        <w:t>Per E. Andrén</w:t>
      </w:r>
      <w:r>
        <w:rPr>
          <w:rFonts w:hint="eastAsia"/>
          <w:b/>
          <w:bCs/>
          <w:sz w:val="24"/>
        </w:rPr>
        <w:t xml:space="preserve"> </w:t>
      </w:r>
      <w:r>
        <w:rPr>
          <w:rFonts w:hint="eastAsia"/>
          <w:bCs/>
          <w:sz w:val="24"/>
        </w:rPr>
        <w:t>（瑞典</w:t>
      </w:r>
      <w:r>
        <w:rPr>
          <w:bCs/>
          <w:sz w:val="24"/>
        </w:rPr>
        <w:t>乌普萨拉大学</w:t>
      </w:r>
      <w:r>
        <w:rPr>
          <w:rFonts w:hint="eastAsia"/>
          <w:bCs/>
          <w:sz w:val="24"/>
        </w:rPr>
        <w:t>药学系教授）</w:t>
      </w:r>
    </w:p>
    <w:p>
      <w:pPr>
        <w:spacing w:line="360" w:lineRule="exact"/>
        <w:rPr>
          <w:bCs/>
          <w:sz w:val="24"/>
        </w:rPr>
      </w:pPr>
      <w:r>
        <w:rPr>
          <w:rFonts w:hint="eastAsia"/>
          <w:bCs/>
          <w:sz w:val="24"/>
        </w:rPr>
        <w:t>4、</w:t>
      </w:r>
      <w:r>
        <w:rPr>
          <w:rFonts w:hint="eastAsia"/>
          <w:b/>
          <w:bCs/>
          <w:sz w:val="24"/>
        </w:rPr>
        <w:t>贾建平</w:t>
      </w:r>
      <w:r>
        <w:rPr>
          <w:rFonts w:hint="eastAsia"/>
          <w:bCs/>
          <w:sz w:val="24"/>
        </w:rPr>
        <w:t xml:space="preserve"> （首都医科大学附属北京友谊医院神经内科教授、中华医学会神经病学分会前任主任委员）</w:t>
      </w:r>
    </w:p>
    <w:p>
      <w:pPr>
        <w:spacing w:line="360" w:lineRule="exact"/>
        <w:rPr>
          <w:bCs/>
          <w:sz w:val="24"/>
        </w:rPr>
      </w:pPr>
      <w:r>
        <w:rPr>
          <w:rFonts w:hint="eastAsia"/>
          <w:bCs/>
          <w:sz w:val="24"/>
        </w:rPr>
        <w:t>5、</w:t>
      </w:r>
      <w:r>
        <w:rPr>
          <w:rFonts w:hint="eastAsia"/>
          <w:b/>
          <w:bCs/>
          <w:sz w:val="24"/>
        </w:rPr>
        <w:t>乐卫东</w:t>
      </w:r>
      <w:r>
        <w:rPr>
          <w:rFonts w:hint="eastAsia"/>
          <w:bCs/>
          <w:sz w:val="24"/>
        </w:rPr>
        <w:t xml:space="preserve"> （大连医科大学附一院辽宁省神经系统疾病临床医学研究中心主任、中组部千人计划特聘教授）</w:t>
      </w:r>
    </w:p>
    <w:p>
      <w:pPr>
        <w:spacing w:line="360" w:lineRule="exact"/>
        <w:rPr>
          <w:bCs/>
          <w:sz w:val="24"/>
        </w:rPr>
      </w:pPr>
      <w:r>
        <w:rPr>
          <w:rFonts w:hint="eastAsia"/>
          <w:bCs/>
          <w:sz w:val="24"/>
        </w:rPr>
        <w:t>6、</w:t>
      </w:r>
      <w:r>
        <w:rPr>
          <w:rFonts w:hint="eastAsia"/>
          <w:b/>
          <w:bCs/>
          <w:sz w:val="24"/>
        </w:rPr>
        <w:t>郑加麟</w:t>
      </w:r>
      <w:r>
        <w:rPr>
          <w:rFonts w:hint="eastAsia"/>
          <w:bCs/>
          <w:sz w:val="24"/>
        </w:rPr>
        <w:t xml:space="preserve"> （同济大学医学院院长、中组部千人计划特聘教授）</w:t>
      </w:r>
    </w:p>
    <w:p>
      <w:pPr>
        <w:spacing w:line="360" w:lineRule="exact"/>
        <w:rPr>
          <w:bCs/>
          <w:sz w:val="24"/>
        </w:rPr>
      </w:pPr>
      <w:r>
        <w:rPr>
          <w:rFonts w:hint="eastAsia"/>
          <w:bCs/>
          <w:sz w:val="24"/>
        </w:rPr>
        <w:t>7、</w:t>
      </w:r>
      <w:r>
        <w:rPr>
          <w:b/>
          <w:bCs/>
          <w:sz w:val="24"/>
        </w:rPr>
        <w:t>Meng C. Wang</w:t>
      </w:r>
      <w:r>
        <w:rPr>
          <w:rFonts w:hint="eastAsia"/>
          <w:b/>
          <w:bCs/>
          <w:sz w:val="24"/>
        </w:rPr>
        <w:t xml:space="preserve"> </w:t>
      </w:r>
      <w:r>
        <w:rPr>
          <w:rFonts w:hint="eastAsia"/>
          <w:bCs/>
          <w:sz w:val="24"/>
        </w:rPr>
        <w:t>（美国贝勒医学院亨廷顿衰老中心分子与人类遗传学副教授）</w:t>
      </w:r>
    </w:p>
    <w:p>
      <w:pPr>
        <w:spacing w:line="360" w:lineRule="exact"/>
        <w:rPr>
          <w:bCs/>
          <w:sz w:val="24"/>
        </w:rPr>
      </w:pPr>
      <w:r>
        <w:rPr>
          <w:rFonts w:hint="eastAsia"/>
          <w:bCs/>
          <w:sz w:val="24"/>
        </w:rPr>
        <w:t>8、</w:t>
      </w:r>
      <w:r>
        <w:rPr>
          <w:rFonts w:hint="eastAsia"/>
          <w:b/>
          <w:bCs/>
          <w:sz w:val="24"/>
        </w:rPr>
        <w:t>马兰</w:t>
      </w:r>
      <w:r>
        <w:rPr>
          <w:rFonts w:hint="eastAsia"/>
          <w:bCs/>
          <w:sz w:val="24"/>
        </w:rPr>
        <w:t xml:space="preserve"> （复旦大学脑科学研究院院长，长江学者特聘教授，国家杰青）</w:t>
      </w:r>
    </w:p>
    <w:p>
      <w:pPr>
        <w:spacing w:line="360" w:lineRule="exact"/>
        <w:rPr>
          <w:bCs/>
          <w:sz w:val="24"/>
        </w:rPr>
      </w:pPr>
      <w:r>
        <w:rPr>
          <w:rFonts w:hint="eastAsia"/>
          <w:bCs/>
          <w:sz w:val="24"/>
        </w:rPr>
        <w:t>9、</w:t>
      </w:r>
      <w:r>
        <w:rPr>
          <w:rFonts w:hint="eastAsia"/>
          <w:b/>
          <w:bCs/>
          <w:sz w:val="24"/>
        </w:rPr>
        <w:t>王建枝</w:t>
      </w:r>
      <w:r>
        <w:rPr>
          <w:rFonts w:hint="eastAsia"/>
          <w:bCs/>
          <w:sz w:val="24"/>
        </w:rPr>
        <w:t>（华中科技大学同济医学院病理生理学系教授，长江学者特聘教授，国家杰青）</w:t>
      </w:r>
    </w:p>
    <w:p>
      <w:pPr>
        <w:spacing w:line="360" w:lineRule="exact"/>
        <w:rPr>
          <w:b/>
          <w:bCs/>
          <w:sz w:val="24"/>
        </w:rPr>
      </w:pPr>
      <w:r>
        <w:rPr>
          <w:rFonts w:hint="eastAsia"/>
          <w:bCs/>
          <w:sz w:val="24"/>
        </w:rPr>
        <w:t>10、</w:t>
      </w:r>
      <w:r>
        <w:rPr>
          <w:rFonts w:hint="eastAsia"/>
          <w:b/>
          <w:bCs/>
          <w:sz w:val="24"/>
        </w:rPr>
        <w:t xml:space="preserve">周嘉伟 </w:t>
      </w:r>
      <w:r>
        <w:rPr>
          <w:rFonts w:hint="eastAsia"/>
          <w:bCs/>
          <w:sz w:val="24"/>
        </w:rPr>
        <w:t>（中国科学院上海生命科学研究院神经科学研究所研究员，神经科学国家重点实验室副主任，国家杰青）</w:t>
      </w:r>
    </w:p>
    <w:p>
      <w:pPr>
        <w:spacing w:line="360" w:lineRule="exact"/>
        <w:rPr>
          <w:b/>
          <w:bCs/>
          <w:sz w:val="24"/>
        </w:rPr>
      </w:pPr>
      <w:r>
        <w:rPr>
          <w:rFonts w:hint="eastAsia"/>
          <w:bCs/>
          <w:sz w:val="24"/>
        </w:rPr>
        <w:t>11、</w:t>
      </w:r>
      <w:r>
        <w:rPr>
          <w:rFonts w:hint="eastAsia"/>
          <w:b/>
          <w:bCs/>
          <w:sz w:val="24"/>
        </w:rPr>
        <w:t xml:space="preserve">谢俊霞 </w:t>
      </w:r>
      <w:r>
        <w:rPr>
          <w:rFonts w:hint="eastAsia"/>
          <w:bCs/>
          <w:sz w:val="24"/>
        </w:rPr>
        <w:t>（青岛大学副校长、青岛大学医学院脑科学研究院教授）</w:t>
      </w:r>
    </w:p>
    <w:p>
      <w:pPr>
        <w:spacing w:line="360" w:lineRule="exact"/>
        <w:rPr>
          <w:rFonts w:hAnsi="宋体"/>
          <w:b/>
          <w:bCs/>
          <w:sz w:val="24"/>
        </w:rPr>
      </w:pPr>
      <w:r>
        <w:rPr>
          <w:rFonts w:hint="eastAsia" w:hAnsi="宋体"/>
          <w:bCs/>
          <w:sz w:val="24"/>
        </w:rPr>
        <w:t>12、</w:t>
      </w:r>
      <w:r>
        <w:rPr>
          <w:rFonts w:hint="eastAsia" w:hAnsi="宋体"/>
          <w:b/>
          <w:bCs/>
          <w:sz w:val="24"/>
        </w:rPr>
        <w:t xml:space="preserve">王  韵 </w:t>
      </w:r>
      <w:r>
        <w:rPr>
          <w:rFonts w:hint="eastAsia" w:hAnsi="宋体"/>
          <w:bCs/>
          <w:sz w:val="24"/>
        </w:rPr>
        <w:t>（北京大学基础医学院神经科学所副所长，国家杰青）</w:t>
      </w:r>
    </w:p>
    <w:p>
      <w:pPr>
        <w:spacing w:line="360" w:lineRule="exact"/>
        <w:rPr>
          <w:rFonts w:hAnsi="宋体"/>
          <w:b/>
          <w:bCs/>
          <w:sz w:val="24"/>
        </w:rPr>
      </w:pPr>
      <w:r>
        <w:rPr>
          <w:rFonts w:hint="eastAsia" w:hAnsi="宋体"/>
          <w:bCs/>
          <w:sz w:val="24"/>
        </w:rPr>
        <w:t>13、</w:t>
      </w:r>
      <w:r>
        <w:rPr>
          <w:rFonts w:hint="eastAsia" w:hAnsi="宋体"/>
          <w:b/>
          <w:bCs/>
          <w:sz w:val="24"/>
        </w:rPr>
        <w:t xml:space="preserve">何志义 </w:t>
      </w:r>
      <w:r>
        <w:rPr>
          <w:rFonts w:hint="eastAsia" w:hAnsi="宋体"/>
          <w:bCs/>
          <w:sz w:val="24"/>
        </w:rPr>
        <w:t>（中国医科大学附属第一医院神经内科主任）</w:t>
      </w:r>
    </w:p>
    <w:p>
      <w:pPr>
        <w:spacing w:line="360" w:lineRule="exact"/>
        <w:rPr>
          <w:rFonts w:hAnsi="宋体"/>
          <w:b/>
          <w:bCs/>
          <w:sz w:val="24"/>
        </w:rPr>
      </w:pPr>
      <w:r>
        <w:rPr>
          <w:rFonts w:hint="eastAsia" w:hAnsi="宋体"/>
          <w:bCs/>
          <w:sz w:val="24"/>
        </w:rPr>
        <w:t>14、</w:t>
      </w:r>
      <w:r>
        <w:rPr>
          <w:rFonts w:hint="eastAsia" w:hAnsi="宋体"/>
          <w:b/>
          <w:bCs/>
          <w:sz w:val="24"/>
        </w:rPr>
        <w:t xml:space="preserve">马坚妹 </w:t>
      </w:r>
      <w:r>
        <w:rPr>
          <w:rFonts w:hint="eastAsia" w:hAnsi="宋体"/>
          <w:bCs/>
          <w:sz w:val="24"/>
        </w:rPr>
        <w:t>（大连医科大学基础医学院副院长，解剖学教研室教授）</w:t>
      </w:r>
    </w:p>
    <w:p>
      <w:pPr>
        <w:spacing w:line="360" w:lineRule="exact"/>
        <w:rPr>
          <w:rFonts w:hAnsi="宋体"/>
          <w:bCs/>
          <w:sz w:val="24"/>
        </w:rPr>
      </w:pPr>
      <w:r>
        <w:rPr>
          <w:rFonts w:hint="eastAsia" w:hAnsi="宋体"/>
          <w:bCs/>
          <w:sz w:val="24"/>
        </w:rPr>
        <w:t>15、待定（大连医科大学附属第一医院神经内科）</w:t>
      </w:r>
    </w:p>
    <w:p>
      <w:pPr>
        <w:spacing w:line="360" w:lineRule="exact"/>
        <w:rPr>
          <w:rFonts w:hAnsi="宋体"/>
          <w:bCs/>
          <w:sz w:val="24"/>
        </w:rPr>
      </w:pPr>
      <w:r>
        <w:rPr>
          <w:rFonts w:hint="eastAsia" w:hAnsi="宋体"/>
          <w:bCs/>
          <w:sz w:val="24"/>
        </w:rPr>
        <w:t>16、</w:t>
      </w:r>
      <w:r>
        <w:rPr>
          <w:rFonts w:hint="eastAsia" w:hAnsi="宋体"/>
          <w:b/>
          <w:bCs/>
          <w:sz w:val="24"/>
        </w:rPr>
        <w:t xml:space="preserve">林永忠 </w:t>
      </w:r>
      <w:r>
        <w:rPr>
          <w:rFonts w:hint="eastAsia" w:hAnsi="宋体"/>
          <w:bCs/>
          <w:sz w:val="24"/>
        </w:rPr>
        <w:t>（大连医科大学附属第二医院神经内科主任）</w:t>
      </w:r>
    </w:p>
    <w:p>
      <w:pPr>
        <w:spacing w:line="360" w:lineRule="exact"/>
        <w:rPr>
          <w:rFonts w:hAnsi="宋体"/>
          <w:bCs/>
          <w:sz w:val="24"/>
        </w:rPr>
      </w:pPr>
    </w:p>
    <w:p>
      <w:pPr>
        <w:spacing w:line="360" w:lineRule="exact"/>
        <w:rPr>
          <w:rFonts w:hAnsi="宋体"/>
          <w:b/>
          <w:bCs/>
          <w:sz w:val="24"/>
        </w:rPr>
      </w:pPr>
      <w:r>
        <w:rPr>
          <w:rFonts w:hint="eastAsia" w:hAnsi="宋体"/>
          <w:bCs/>
          <w:sz w:val="24"/>
        </w:rPr>
        <w:t>三、</w:t>
      </w:r>
      <w:r>
        <w:rPr>
          <w:rFonts w:hint="eastAsia" w:hAnsi="宋体"/>
          <w:b/>
          <w:bCs/>
          <w:sz w:val="24"/>
        </w:rPr>
        <w:t>关于住宿和交通</w:t>
      </w:r>
    </w:p>
    <w:p>
      <w:pPr>
        <w:spacing w:line="360" w:lineRule="exact"/>
        <w:rPr>
          <w:rFonts w:hAnsi="宋体"/>
          <w:b/>
          <w:bCs/>
          <w:sz w:val="24"/>
        </w:rPr>
      </w:pPr>
      <w:r>
        <w:rPr>
          <w:rFonts w:hAnsi="宋体"/>
          <w:b/>
          <w:bCs/>
          <w:sz w:val="24"/>
        </w:rPr>
        <w:t xml:space="preserve">1. </w:t>
      </w:r>
      <w:r>
        <w:rPr>
          <w:rFonts w:hint="eastAsia" w:hAnsi="宋体"/>
          <w:b/>
          <w:bCs/>
          <w:sz w:val="24"/>
        </w:rPr>
        <w:t>会议住宿</w:t>
      </w:r>
    </w:p>
    <w:p>
      <w:pPr>
        <w:spacing w:line="360" w:lineRule="exact"/>
        <w:rPr>
          <w:rFonts w:hAnsi="宋体"/>
          <w:bCs/>
          <w:sz w:val="24"/>
        </w:rPr>
      </w:pPr>
      <w:r>
        <w:rPr>
          <w:rFonts w:hint="eastAsia" w:hAnsi="宋体"/>
          <w:bCs/>
          <w:sz w:val="24"/>
        </w:rPr>
        <w:t>本次会议推荐酒店为大连香洲花园酒店（会场所在酒店）、大连川王府阳光酒店（距离会场约</w:t>
      </w:r>
      <w:r>
        <w:rPr>
          <w:rFonts w:hAnsi="宋体"/>
          <w:bCs/>
          <w:sz w:val="24"/>
        </w:rPr>
        <w:t>400</w:t>
      </w:r>
      <w:r>
        <w:rPr>
          <w:rFonts w:hint="eastAsia" w:hAnsi="宋体"/>
          <w:bCs/>
          <w:sz w:val="24"/>
        </w:rPr>
        <w:t>米），由于参会人数较多，且是大连旅游旺季，建议参会人员提前预订。电话预订时请说明参加“中国大连神经科学高峰论坛”。</w:t>
      </w:r>
    </w:p>
    <w:p>
      <w:pPr>
        <w:spacing w:line="360" w:lineRule="exact"/>
        <w:rPr>
          <w:rFonts w:hAnsi="宋体"/>
          <w:bCs/>
          <w:sz w:val="24"/>
        </w:rPr>
      </w:pPr>
    </w:p>
    <w:tbl>
      <w:tblPr>
        <w:tblStyle w:val="6"/>
        <w:tblW w:w="7287" w:type="dxa"/>
        <w:jc w:val="center"/>
        <w:tblInd w:w="0" w:type="dxa"/>
        <w:tblLayout w:type="fixed"/>
        <w:tblCellMar>
          <w:top w:w="0" w:type="dxa"/>
          <w:left w:w="0" w:type="dxa"/>
          <w:bottom w:w="0" w:type="dxa"/>
          <w:right w:w="0" w:type="dxa"/>
        </w:tblCellMar>
      </w:tblPr>
      <w:tblGrid>
        <w:gridCol w:w="1236"/>
        <w:gridCol w:w="1079"/>
        <w:gridCol w:w="2599"/>
        <w:gridCol w:w="875"/>
        <w:gridCol w:w="1498"/>
      </w:tblGrid>
      <w:tr>
        <w:tblPrEx>
          <w:tblLayout w:type="fixed"/>
          <w:tblCellMar>
            <w:top w:w="0" w:type="dxa"/>
            <w:left w:w="0" w:type="dxa"/>
            <w:bottom w:w="0" w:type="dxa"/>
            <w:right w:w="0" w:type="dxa"/>
          </w:tblCellMar>
        </w:tblPrEx>
        <w:trPr>
          <w:trHeight w:val="285" w:hRule="atLeast"/>
          <w:jc w:val="center"/>
        </w:trPr>
        <w:tc>
          <w:tcPr>
            <w:tcW w:w="1236" w:type="dxa"/>
            <w:tcBorders>
              <w:top w:val="single" w:color="000000" w:sz="4" w:space="0"/>
              <w:left w:val="single" w:color="000000" w:sz="4" w:space="0"/>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int="eastAsia" w:hAnsi="宋体"/>
                <w:bCs/>
                <w:sz w:val="24"/>
              </w:rPr>
              <w:t>酒店名称</w:t>
            </w:r>
          </w:p>
        </w:tc>
        <w:tc>
          <w:tcPr>
            <w:tcW w:w="1079" w:type="dxa"/>
            <w:tcBorders>
              <w:top w:val="single" w:color="000000" w:sz="4" w:space="0"/>
              <w:left w:val="nil"/>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int="eastAsia" w:hAnsi="宋体"/>
                <w:bCs/>
                <w:sz w:val="24"/>
              </w:rPr>
              <w:t>房型</w:t>
            </w:r>
          </w:p>
        </w:tc>
        <w:tc>
          <w:tcPr>
            <w:tcW w:w="2599" w:type="dxa"/>
            <w:tcBorders>
              <w:top w:val="single" w:color="000000" w:sz="4" w:space="0"/>
              <w:left w:val="nil"/>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int="eastAsia" w:hAnsi="宋体"/>
                <w:bCs/>
                <w:sz w:val="24"/>
              </w:rPr>
              <w:t>协议价格</w:t>
            </w:r>
          </w:p>
        </w:tc>
        <w:tc>
          <w:tcPr>
            <w:tcW w:w="875" w:type="dxa"/>
            <w:tcBorders>
              <w:top w:val="single" w:color="000000" w:sz="4" w:space="0"/>
              <w:left w:val="nil"/>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int="eastAsia" w:hAnsi="宋体"/>
                <w:bCs/>
                <w:sz w:val="24"/>
              </w:rPr>
              <w:t>备注</w:t>
            </w:r>
          </w:p>
        </w:tc>
        <w:tc>
          <w:tcPr>
            <w:tcW w:w="1498" w:type="dxa"/>
            <w:tcBorders>
              <w:top w:val="single" w:color="000000" w:sz="4" w:space="0"/>
              <w:left w:val="nil"/>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int="eastAsia" w:hAnsi="宋体"/>
                <w:bCs/>
                <w:sz w:val="24"/>
              </w:rPr>
              <w:t>预定联系人</w:t>
            </w:r>
          </w:p>
        </w:tc>
      </w:tr>
      <w:tr>
        <w:tblPrEx>
          <w:tblLayout w:type="fixed"/>
          <w:tblCellMar>
            <w:top w:w="0" w:type="dxa"/>
            <w:left w:w="0" w:type="dxa"/>
            <w:bottom w:w="0" w:type="dxa"/>
            <w:right w:w="0" w:type="dxa"/>
          </w:tblCellMar>
        </w:tblPrEx>
        <w:trPr>
          <w:trHeight w:val="285" w:hRule="atLeast"/>
          <w:jc w:val="center"/>
        </w:trPr>
        <w:tc>
          <w:tcPr>
            <w:tcW w:w="1236" w:type="dxa"/>
            <w:vMerge w:val="restart"/>
            <w:tcBorders>
              <w:top w:val="nil"/>
              <w:left w:val="single" w:color="000000" w:sz="4" w:space="0"/>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int="eastAsia" w:hAnsi="宋体"/>
                <w:bCs/>
                <w:sz w:val="24"/>
              </w:rPr>
              <w:t>香洲花园酒店</w:t>
            </w:r>
          </w:p>
          <w:p>
            <w:pPr>
              <w:spacing w:line="360" w:lineRule="exact"/>
              <w:rPr>
                <w:rFonts w:hAnsi="宋体"/>
                <w:bCs/>
                <w:sz w:val="24"/>
              </w:rPr>
            </w:pPr>
            <w:r>
              <w:rPr>
                <w:rFonts w:hint="eastAsia" w:hAnsi="宋体"/>
                <w:bCs/>
                <w:sz w:val="24"/>
              </w:rPr>
              <w:t>（准五星）</w:t>
            </w:r>
          </w:p>
        </w:tc>
        <w:tc>
          <w:tcPr>
            <w:tcW w:w="1079" w:type="dxa"/>
            <w:tcBorders>
              <w:top w:val="nil"/>
              <w:left w:val="nil"/>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int="eastAsia" w:hAnsi="宋体"/>
                <w:bCs/>
                <w:sz w:val="24"/>
              </w:rPr>
              <w:t>标准单人间</w:t>
            </w:r>
          </w:p>
        </w:tc>
        <w:tc>
          <w:tcPr>
            <w:tcW w:w="2599" w:type="dxa"/>
            <w:tcBorders>
              <w:top w:val="nil"/>
              <w:left w:val="nil"/>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int="eastAsia" w:hAnsi="宋体"/>
                <w:bCs/>
                <w:sz w:val="24"/>
              </w:rPr>
              <w:t>40</w:t>
            </w:r>
            <w:r>
              <w:rPr>
                <w:rFonts w:hAnsi="宋体"/>
                <w:bCs/>
                <w:sz w:val="24"/>
              </w:rPr>
              <w:t>9/</w:t>
            </w:r>
            <w:r>
              <w:rPr>
                <w:rFonts w:hint="eastAsia" w:hAnsi="宋体"/>
                <w:bCs/>
                <w:sz w:val="24"/>
              </w:rPr>
              <w:t>间</w:t>
            </w:r>
          </w:p>
        </w:tc>
        <w:tc>
          <w:tcPr>
            <w:tcW w:w="875" w:type="dxa"/>
            <w:tcBorders>
              <w:top w:val="nil"/>
              <w:left w:val="nil"/>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int="eastAsia" w:hAnsi="宋体"/>
                <w:bCs/>
                <w:sz w:val="24"/>
              </w:rPr>
              <w:t>含单早</w:t>
            </w:r>
          </w:p>
        </w:tc>
        <w:tc>
          <w:tcPr>
            <w:tcW w:w="1498" w:type="dxa"/>
            <w:vMerge w:val="restart"/>
            <w:tcBorders>
              <w:top w:val="nil"/>
              <w:left w:val="nil"/>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int="eastAsia" w:hAnsi="宋体"/>
                <w:bCs/>
                <w:sz w:val="24"/>
              </w:rPr>
              <w:t>段燕</w:t>
            </w:r>
            <w:r>
              <w:rPr>
                <w:rFonts w:hAnsi="宋体"/>
                <w:bCs/>
                <w:sz w:val="24"/>
              </w:rPr>
              <w:t>13842613804</w:t>
            </w:r>
          </w:p>
        </w:tc>
      </w:tr>
      <w:tr>
        <w:tblPrEx>
          <w:tblLayout w:type="fixed"/>
          <w:tblCellMar>
            <w:top w:w="0" w:type="dxa"/>
            <w:left w:w="0" w:type="dxa"/>
            <w:bottom w:w="0" w:type="dxa"/>
            <w:right w:w="0" w:type="dxa"/>
          </w:tblCellMar>
        </w:tblPrEx>
        <w:trPr>
          <w:trHeight w:val="375" w:hRule="atLeast"/>
          <w:jc w:val="center"/>
        </w:trPr>
        <w:tc>
          <w:tcPr>
            <w:tcW w:w="1236" w:type="dxa"/>
            <w:vMerge w:val="continue"/>
            <w:tcBorders>
              <w:top w:val="nil"/>
              <w:left w:val="single" w:color="000000" w:sz="4" w:space="0"/>
              <w:bottom w:val="single" w:color="000000" w:sz="4" w:space="0"/>
              <w:right w:val="single" w:color="000000" w:sz="4" w:space="0"/>
            </w:tcBorders>
            <w:shd w:val="clear" w:color="auto" w:fill="FFFFFF"/>
            <w:vAlign w:val="center"/>
          </w:tcPr>
          <w:p>
            <w:pPr>
              <w:spacing w:line="360" w:lineRule="exact"/>
              <w:rPr>
                <w:rFonts w:hAnsi="宋体"/>
                <w:bCs/>
                <w:sz w:val="24"/>
              </w:rPr>
            </w:pPr>
          </w:p>
        </w:tc>
        <w:tc>
          <w:tcPr>
            <w:tcW w:w="1079" w:type="dxa"/>
            <w:tcBorders>
              <w:top w:val="nil"/>
              <w:left w:val="nil"/>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int="eastAsia" w:hAnsi="宋体"/>
                <w:bCs/>
                <w:sz w:val="24"/>
              </w:rPr>
              <w:t>豪华双人间</w:t>
            </w:r>
          </w:p>
        </w:tc>
        <w:tc>
          <w:tcPr>
            <w:tcW w:w="2599" w:type="dxa"/>
            <w:tcBorders>
              <w:top w:val="nil"/>
              <w:left w:val="nil"/>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int="eastAsia" w:hAnsi="宋体"/>
                <w:bCs/>
                <w:sz w:val="24"/>
              </w:rPr>
              <w:t>52</w:t>
            </w:r>
            <w:r>
              <w:rPr>
                <w:rFonts w:hAnsi="宋体"/>
                <w:bCs/>
                <w:sz w:val="24"/>
              </w:rPr>
              <w:t>9/</w:t>
            </w:r>
            <w:r>
              <w:rPr>
                <w:rFonts w:hint="eastAsia" w:hAnsi="宋体"/>
                <w:bCs/>
                <w:sz w:val="24"/>
              </w:rPr>
              <w:t>间</w:t>
            </w:r>
          </w:p>
        </w:tc>
        <w:tc>
          <w:tcPr>
            <w:tcW w:w="875" w:type="dxa"/>
            <w:tcBorders>
              <w:top w:val="nil"/>
              <w:left w:val="nil"/>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int="eastAsia" w:hAnsi="宋体"/>
                <w:bCs/>
                <w:sz w:val="24"/>
              </w:rPr>
              <w:t>含双早</w:t>
            </w:r>
          </w:p>
        </w:tc>
        <w:tc>
          <w:tcPr>
            <w:tcW w:w="1498" w:type="dxa"/>
            <w:vMerge w:val="continue"/>
            <w:tcBorders>
              <w:top w:val="nil"/>
              <w:left w:val="nil"/>
              <w:bottom w:val="single" w:color="000000" w:sz="4" w:space="0"/>
              <w:right w:val="single" w:color="000000" w:sz="4" w:space="0"/>
            </w:tcBorders>
            <w:shd w:val="clear" w:color="auto" w:fill="FFFFFF"/>
            <w:vAlign w:val="center"/>
          </w:tcPr>
          <w:p>
            <w:pPr>
              <w:spacing w:line="360" w:lineRule="exact"/>
              <w:rPr>
                <w:rFonts w:hAnsi="宋体"/>
                <w:bCs/>
                <w:sz w:val="24"/>
              </w:rPr>
            </w:pPr>
          </w:p>
        </w:tc>
      </w:tr>
      <w:tr>
        <w:tblPrEx>
          <w:tblLayout w:type="fixed"/>
          <w:tblCellMar>
            <w:top w:w="0" w:type="dxa"/>
            <w:left w:w="0" w:type="dxa"/>
            <w:bottom w:w="0" w:type="dxa"/>
            <w:right w:w="0" w:type="dxa"/>
          </w:tblCellMar>
        </w:tblPrEx>
        <w:trPr>
          <w:trHeight w:val="285" w:hRule="atLeast"/>
          <w:jc w:val="center"/>
        </w:trPr>
        <w:tc>
          <w:tcPr>
            <w:tcW w:w="1236" w:type="dxa"/>
            <w:vMerge w:val="restart"/>
            <w:tcBorders>
              <w:top w:val="nil"/>
              <w:left w:val="single" w:color="000000" w:sz="4" w:space="0"/>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int="eastAsia" w:hAnsi="宋体"/>
                <w:bCs/>
                <w:sz w:val="24"/>
              </w:rPr>
              <w:t>川王府阳光酒店</w:t>
            </w:r>
          </w:p>
          <w:p>
            <w:pPr>
              <w:spacing w:line="360" w:lineRule="exact"/>
              <w:rPr>
                <w:rFonts w:hAnsi="宋体"/>
                <w:bCs/>
                <w:sz w:val="24"/>
              </w:rPr>
            </w:pPr>
            <w:r>
              <w:rPr>
                <w:rFonts w:hint="eastAsia" w:hAnsi="宋体"/>
                <w:bCs/>
                <w:sz w:val="24"/>
              </w:rPr>
              <w:t>（三星）</w:t>
            </w:r>
          </w:p>
        </w:tc>
        <w:tc>
          <w:tcPr>
            <w:tcW w:w="1079" w:type="dxa"/>
            <w:tcBorders>
              <w:top w:val="nil"/>
              <w:left w:val="nil"/>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int="eastAsia" w:hAnsi="宋体"/>
                <w:bCs/>
                <w:sz w:val="24"/>
              </w:rPr>
              <w:t>商务大床房</w:t>
            </w:r>
          </w:p>
        </w:tc>
        <w:tc>
          <w:tcPr>
            <w:tcW w:w="2599" w:type="dxa"/>
            <w:tcBorders>
              <w:top w:val="nil"/>
              <w:left w:val="nil"/>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Ansi="宋体"/>
                <w:bCs/>
                <w:sz w:val="24"/>
              </w:rPr>
              <w:t>2</w:t>
            </w:r>
            <w:r>
              <w:rPr>
                <w:rFonts w:hint="eastAsia" w:hAnsi="宋体"/>
                <w:bCs/>
                <w:sz w:val="24"/>
              </w:rPr>
              <w:t>7</w:t>
            </w:r>
            <w:r>
              <w:rPr>
                <w:rFonts w:hAnsi="宋体"/>
                <w:bCs/>
                <w:sz w:val="24"/>
              </w:rPr>
              <w:t>0/</w:t>
            </w:r>
            <w:r>
              <w:rPr>
                <w:rFonts w:hint="eastAsia" w:hAnsi="宋体"/>
                <w:bCs/>
                <w:sz w:val="24"/>
              </w:rPr>
              <w:t>间</w:t>
            </w:r>
          </w:p>
        </w:tc>
        <w:tc>
          <w:tcPr>
            <w:tcW w:w="875" w:type="dxa"/>
            <w:tcBorders>
              <w:top w:val="nil"/>
              <w:left w:val="nil"/>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int="eastAsia" w:hAnsi="宋体"/>
                <w:bCs/>
                <w:sz w:val="24"/>
              </w:rPr>
              <w:t>含双早</w:t>
            </w:r>
          </w:p>
        </w:tc>
        <w:tc>
          <w:tcPr>
            <w:tcW w:w="1498" w:type="dxa"/>
            <w:vMerge w:val="restart"/>
            <w:tcBorders>
              <w:top w:val="nil"/>
              <w:left w:val="nil"/>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int="eastAsia" w:hAnsi="宋体"/>
                <w:bCs/>
                <w:sz w:val="24"/>
              </w:rPr>
              <w:t>苗壮</w:t>
            </w:r>
            <w:r>
              <w:rPr>
                <w:rFonts w:hAnsi="宋体"/>
                <w:bCs/>
                <w:sz w:val="24"/>
              </w:rPr>
              <w:t>15941139629</w:t>
            </w:r>
          </w:p>
        </w:tc>
      </w:tr>
      <w:tr>
        <w:tblPrEx>
          <w:tblLayout w:type="fixed"/>
          <w:tblCellMar>
            <w:top w:w="0" w:type="dxa"/>
            <w:left w:w="0" w:type="dxa"/>
            <w:bottom w:w="0" w:type="dxa"/>
            <w:right w:w="0" w:type="dxa"/>
          </w:tblCellMar>
        </w:tblPrEx>
        <w:trPr>
          <w:trHeight w:val="285" w:hRule="atLeast"/>
          <w:jc w:val="center"/>
        </w:trPr>
        <w:tc>
          <w:tcPr>
            <w:tcW w:w="1236" w:type="dxa"/>
            <w:vMerge w:val="continue"/>
            <w:tcBorders>
              <w:top w:val="nil"/>
              <w:left w:val="single" w:color="000000" w:sz="4" w:space="0"/>
              <w:bottom w:val="single" w:color="000000" w:sz="4" w:space="0"/>
              <w:right w:val="single" w:color="000000" w:sz="4" w:space="0"/>
            </w:tcBorders>
            <w:shd w:val="clear" w:color="auto" w:fill="FFFFFF"/>
            <w:vAlign w:val="center"/>
          </w:tcPr>
          <w:p>
            <w:pPr>
              <w:spacing w:line="360" w:lineRule="exact"/>
              <w:rPr>
                <w:rFonts w:hAnsi="宋体"/>
                <w:bCs/>
                <w:sz w:val="24"/>
              </w:rPr>
            </w:pPr>
          </w:p>
        </w:tc>
        <w:tc>
          <w:tcPr>
            <w:tcW w:w="1079" w:type="dxa"/>
            <w:tcBorders>
              <w:top w:val="nil"/>
              <w:left w:val="nil"/>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int="eastAsia" w:hAnsi="宋体"/>
                <w:bCs/>
                <w:sz w:val="24"/>
              </w:rPr>
              <w:t>双人标准间</w:t>
            </w:r>
          </w:p>
        </w:tc>
        <w:tc>
          <w:tcPr>
            <w:tcW w:w="2599" w:type="dxa"/>
            <w:tcBorders>
              <w:top w:val="nil"/>
              <w:left w:val="nil"/>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Ansi="宋体"/>
                <w:bCs/>
                <w:sz w:val="24"/>
              </w:rPr>
              <w:t>2</w:t>
            </w:r>
            <w:r>
              <w:rPr>
                <w:rFonts w:hint="eastAsia" w:hAnsi="宋体"/>
                <w:bCs/>
                <w:sz w:val="24"/>
              </w:rPr>
              <w:t>7</w:t>
            </w:r>
            <w:r>
              <w:rPr>
                <w:rFonts w:hAnsi="宋体"/>
                <w:bCs/>
                <w:sz w:val="24"/>
              </w:rPr>
              <w:t>0/</w:t>
            </w:r>
            <w:r>
              <w:rPr>
                <w:rFonts w:hint="eastAsia" w:hAnsi="宋体"/>
                <w:bCs/>
                <w:sz w:val="24"/>
              </w:rPr>
              <w:t>间</w:t>
            </w:r>
          </w:p>
        </w:tc>
        <w:tc>
          <w:tcPr>
            <w:tcW w:w="875" w:type="dxa"/>
            <w:tcBorders>
              <w:top w:val="nil"/>
              <w:left w:val="nil"/>
              <w:bottom w:val="single" w:color="000000" w:sz="4" w:space="0"/>
              <w:right w:val="single" w:color="000000" w:sz="4" w:space="0"/>
            </w:tcBorders>
            <w:shd w:val="clear" w:color="auto" w:fill="FFFFFF"/>
            <w:tcMar>
              <w:top w:w="11" w:type="dxa"/>
              <w:left w:w="76" w:type="dxa"/>
              <w:bottom w:w="11" w:type="dxa"/>
              <w:right w:w="76" w:type="dxa"/>
            </w:tcMar>
            <w:vAlign w:val="center"/>
          </w:tcPr>
          <w:p>
            <w:pPr>
              <w:spacing w:line="360" w:lineRule="exact"/>
              <w:rPr>
                <w:rFonts w:hAnsi="宋体"/>
                <w:bCs/>
                <w:sz w:val="24"/>
              </w:rPr>
            </w:pPr>
            <w:r>
              <w:rPr>
                <w:rFonts w:hint="eastAsia" w:hAnsi="宋体"/>
                <w:bCs/>
                <w:sz w:val="24"/>
              </w:rPr>
              <w:t>含双早</w:t>
            </w:r>
          </w:p>
        </w:tc>
        <w:tc>
          <w:tcPr>
            <w:tcW w:w="1498" w:type="dxa"/>
            <w:vMerge w:val="continue"/>
            <w:tcBorders>
              <w:top w:val="nil"/>
              <w:left w:val="nil"/>
              <w:bottom w:val="single" w:color="000000" w:sz="4" w:space="0"/>
              <w:right w:val="single" w:color="000000" w:sz="4" w:space="0"/>
            </w:tcBorders>
            <w:shd w:val="clear" w:color="auto" w:fill="FFFFFF"/>
            <w:vAlign w:val="center"/>
          </w:tcPr>
          <w:p>
            <w:pPr>
              <w:spacing w:line="360" w:lineRule="exact"/>
              <w:rPr>
                <w:rFonts w:hAnsi="宋体"/>
                <w:bCs/>
                <w:sz w:val="24"/>
              </w:rPr>
            </w:pPr>
          </w:p>
        </w:tc>
      </w:tr>
    </w:tbl>
    <w:p>
      <w:pPr>
        <w:spacing w:line="360" w:lineRule="exact"/>
        <w:rPr>
          <w:rFonts w:hAnsi="宋体"/>
          <w:b/>
          <w:bCs/>
          <w:sz w:val="24"/>
        </w:rPr>
      </w:pPr>
      <w:r>
        <w:rPr>
          <w:rFonts w:hAnsi="宋体"/>
          <w:b/>
          <w:bCs/>
          <w:sz w:val="24"/>
        </w:rPr>
        <w:t xml:space="preserve">2. </w:t>
      </w:r>
      <w:r>
        <w:rPr>
          <w:rFonts w:hint="eastAsia" w:hAnsi="宋体"/>
          <w:b/>
          <w:bCs/>
          <w:sz w:val="24"/>
        </w:rPr>
        <w:t>会议交通</w:t>
      </w:r>
    </w:p>
    <w:p>
      <w:pPr>
        <w:spacing w:line="360" w:lineRule="exact"/>
        <w:rPr>
          <w:rFonts w:hAnsi="宋体"/>
          <w:bCs/>
          <w:sz w:val="24"/>
        </w:rPr>
      </w:pPr>
      <w:r>
        <w:rPr>
          <w:rFonts w:hint="eastAsia" w:hAnsi="宋体"/>
          <w:bCs/>
          <w:sz w:val="24"/>
        </w:rPr>
        <w:t>飞机：距周水子机场约</w:t>
      </w:r>
      <w:r>
        <w:rPr>
          <w:rFonts w:hAnsi="宋体"/>
          <w:bCs/>
          <w:sz w:val="24"/>
        </w:rPr>
        <w:t>10</w:t>
      </w:r>
      <w:r>
        <w:rPr>
          <w:rFonts w:hint="eastAsia" w:hAnsi="宋体"/>
          <w:bCs/>
          <w:sz w:val="24"/>
        </w:rPr>
        <w:t>公里</w:t>
      </w:r>
    </w:p>
    <w:p>
      <w:pPr>
        <w:spacing w:line="360" w:lineRule="exact"/>
        <w:rPr>
          <w:rFonts w:hAnsi="宋体"/>
          <w:bCs/>
          <w:sz w:val="24"/>
        </w:rPr>
      </w:pPr>
      <w:r>
        <w:rPr>
          <w:rFonts w:hint="eastAsia" w:hAnsi="宋体"/>
          <w:bCs/>
          <w:sz w:val="24"/>
        </w:rPr>
        <w:t>火车：距大连站约</w:t>
      </w:r>
      <w:r>
        <w:rPr>
          <w:rFonts w:hAnsi="宋体"/>
          <w:bCs/>
          <w:sz w:val="24"/>
        </w:rPr>
        <w:t>3.5</w:t>
      </w:r>
      <w:r>
        <w:rPr>
          <w:rFonts w:hint="eastAsia" w:hAnsi="宋体"/>
          <w:bCs/>
          <w:sz w:val="24"/>
        </w:rPr>
        <w:t>公里</w:t>
      </w:r>
      <w:r>
        <w:rPr>
          <w:rFonts w:hAnsi="宋体"/>
          <w:bCs/>
          <w:sz w:val="24"/>
        </w:rPr>
        <w:t>/</w:t>
      </w:r>
      <w:r>
        <w:rPr>
          <w:rFonts w:hint="eastAsia" w:hAnsi="宋体"/>
          <w:bCs/>
          <w:sz w:val="24"/>
        </w:rPr>
        <w:t>距大连北站约</w:t>
      </w:r>
      <w:r>
        <w:rPr>
          <w:rFonts w:hAnsi="宋体"/>
          <w:bCs/>
          <w:sz w:val="24"/>
        </w:rPr>
        <w:t>15</w:t>
      </w:r>
      <w:r>
        <w:rPr>
          <w:rFonts w:hint="eastAsia" w:hAnsi="宋体"/>
          <w:bCs/>
          <w:sz w:val="24"/>
        </w:rPr>
        <w:t>公里</w:t>
      </w:r>
    </w:p>
    <w:p>
      <w:pPr>
        <w:spacing w:line="360" w:lineRule="exact"/>
        <w:rPr>
          <w:rFonts w:hAnsi="宋体"/>
          <w:bCs/>
          <w:sz w:val="24"/>
        </w:rPr>
      </w:pPr>
      <w:r>
        <w:rPr>
          <w:rFonts w:hint="eastAsia" w:hAnsi="宋体"/>
          <w:bCs/>
          <w:sz w:val="24"/>
        </w:rPr>
        <w:t>地铁：机场或大连站可乘坐地铁</w:t>
      </w:r>
      <w:r>
        <w:rPr>
          <w:rFonts w:hAnsi="宋体"/>
          <w:bCs/>
          <w:sz w:val="24"/>
        </w:rPr>
        <w:t>2</w:t>
      </w:r>
      <w:r>
        <w:rPr>
          <w:rFonts w:hint="eastAsia" w:hAnsi="宋体"/>
          <w:bCs/>
          <w:sz w:val="24"/>
        </w:rPr>
        <w:t>号线，大连北站可乘坐地铁</w:t>
      </w:r>
      <w:r>
        <w:rPr>
          <w:rFonts w:hAnsi="宋体"/>
          <w:bCs/>
          <w:sz w:val="24"/>
        </w:rPr>
        <w:t>1</w:t>
      </w:r>
      <w:r>
        <w:rPr>
          <w:rFonts w:hint="eastAsia" w:hAnsi="宋体"/>
          <w:bCs/>
          <w:sz w:val="24"/>
        </w:rPr>
        <w:t>号线换乘</w:t>
      </w:r>
      <w:r>
        <w:rPr>
          <w:rFonts w:hAnsi="宋体"/>
          <w:bCs/>
          <w:sz w:val="24"/>
        </w:rPr>
        <w:t>2</w:t>
      </w:r>
      <w:r>
        <w:rPr>
          <w:rFonts w:hint="eastAsia" w:hAnsi="宋体"/>
          <w:bCs/>
          <w:sz w:val="24"/>
        </w:rPr>
        <w:t>号线至人民广场站</w:t>
      </w:r>
      <w:r>
        <w:rPr>
          <w:rFonts w:hAnsi="宋体"/>
          <w:bCs/>
          <w:sz w:val="24"/>
        </w:rPr>
        <w:t>A</w:t>
      </w:r>
      <w:r>
        <w:rPr>
          <w:rFonts w:hint="eastAsia" w:hAnsi="宋体"/>
          <w:bCs/>
          <w:sz w:val="24"/>
        </w:rPr>
        <w:t>口出，南行</w:t>
      </w:r>
      <w:r>
        <w:rPr>
          <w:rFonts w:hAnsi="宋体"/>
          <w:bCs/>
          <w:sz w:val="24"/>
        </w:rPr>
        <w:t>300</w:t>
      </w:r>
      <w:r>
        <w:rPr>
          <w:rFonts w:hint="eastAsia" w:hAnsi="宋体"/>
          <w:bCs/>
          <w:sz w:val="24"/>
        </w:rPr>
        <w:t>米左右。</w:t>
      </w:r>
      <w:r>
        <w:rPr>
          <w:rFonts w:hAnsi="宋体"/>
          <w:bCs/>
          <w:sz w:val="24"/>
        </w:rPr>
        <w:t xml:space="preserve"> </w:t>
      </w:r>
    </w:p>
    <w:p>
      <w:pPr>
        <w:spacing w:line="360" w:lineRule="exact"/>
        <w:rPr>
          <w:rFonts w:hAnsi="宋体"/>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9F"/>
    <w:rsid w:val="00000E25"/>
    <w:rsid w:val="00006B8E"/>
    <w:rsid w:val="000445C8"/>
    <w:rsid w:val="000600F4"/>
    <w:rsid w:val="00074D50"/>
    <w:rsid w:val="00091723"/>
    <w:rsid w:val="00096E4C"/>
    <w:rsid w:val="000A1FED"/>
    <w:rsid w:val="0010376F"/>
    <w:rsid w:val="00112803"/>
    <w:rsid w:val="00165692"/>
    <w:rsid w:val="00185A48"/>
    <w:rsid w:val="001B4BA1"/>
    <w:rsid w:val="001C0183"/>
    <w:rsid w:val="001D2C1C"/>
    <w:rsid w:val="002341F7"/>
    <w:rsid w:val="00235570"/>
    <w:rsid w:val="00241553"/>
    <w:rsid w:val="00241FDA"/>
    <w:rsid w:val="00246A1E"/>
    <w:rsid w:val="002756FD"/>
    <w:rsid w:val="00296208"/>
    <w:rsid w:val="002C0FF6"/>
    <w:rsid w:val="002C50C6"/>
    <w:rsid w:val="002E2F81"/>
    <w:rsid w:val="002F4201"/>
    <w:rsid w:val="00325001"/>
    <w:rsid w:val="00383679"/>
    <w:rsid w:val="003A6BA1"/>
    <w:rsid w:val="003B2AE7"/>
    <w:rsid w:val="003D5419"/>
    <w:rsid w:val="00466158"/>
    <w:rsid w:val="00491C7C"/>
    <w:rsid w:val="004E4DB9"/>
    <w:rsid w:val="00543184"/>
    <w:rsid w:val="00557A55"/>
    <w:rsid w:val="00564542"/>
    <w:rsid w:val="005738D0"/>
    <w:rsid w:val="00576A6F"/>
    <w:rsid w:val="00594EC9"/>
    <w:rsid w:val="005D16A5"/>
    <w:rsid w:val="00653062"/>
    <w:rsid w:val="00654F98"/>
    <w:rsid w:val="00672812"/>
    <w:rsid w:val="00676FEC"/>
    <w:rsid w:val="00681C96"/>
    <w:rsid w:val="006C54A8"/>
    <w:rsid w:val="006F19F6"/>
    <w:rsid w:val="006F3353"/>
    <w:rsid w:val="00736336"/>
    <w:rsid w:val="00796AF5"/>
    <w:rsid w:val="007F7355"/>
    <w:rsid w:val="00806AF1"/>
    <w:rsid w:val="00814532"/>
    <w:rsid w:val="00824176"/>
    <w:rsid w:val="008A1EA4"/>
    <w:rsid w:val="008B6D89"/>
    <w:rsid w:val="008D2935"/>
    <w:rsid w:val="00913656"/>
    <w:rsid w:val="00966EB5"/>
    <w:rsid w:val="00994F17"/>
    <w:rsid w:val="009E7C9B"/>
    <w:rsid w:val="00A02BB5"/>
    <w:rsid w:val="00AE2618"/>
    <w:rsid w:val="00B77661"/>
    <w:rsid w:val="00B9206E"/>
    <w:rsid w:val="00BA3EEE"/>
    <w:rsid w:val="00BA4424"/>
    <w:rsid w:val="00BD059F"/>
    <w:rsid w:val="00BF57C3"/>
    <w:rsid w:val="00C446BC"/>
    <w:rsid w:val="00C96745"/>
    <w:rsid w:val="00CB0173"/>
    <w:rsid w:val="00CE0054"/>
    <w:rsid w:val="00CE50DB"/>
    <w:rsid w:val="00D50EE1"/>
    <w:rsid w:val="00D67750"/>
    <w:rsid w:val="00D72FF6"/>
    <w:rsid w:val="00D8475C"/>
    <w:rsid w:val="00D84CEB"/>
    <w:rsid w:val="00DC7BBC"/>
    <w:rsid w:val="00DD058A"/>
    <w:rsid w:val="00DD111F"/>
    <w:rsid w:val="00DF3D23"/>
    <w:rsid w:val="00E10B9D"/>
    <w:rsid w:val="00E12CCD"/>
    <w:rsid w:val="00E32B49"/>
    <w:rsid w:val="00E667CC"/>
    <w:rsid w:val="00EC31A9"/>
    <w:rsid w:val="00ED7E3A"/>
    <w:rsid w:val="00F15142"/>
    <w:rsid w:val="00F36AAF"/>
    <w:rsid w:val="00F86298"/>
    <w:rsid w:val="00F94D7E"/>
    <w:rsid w:val="00FB31E4"/>
    <w:rsid w:val="2A381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9"/>
    <w:semiHidden/>
    <w:uiPriority w:val="99"/>
    <w:pPr>
      <w:spacing w:line="400" w:lineRule="exact"/>
    </w:pPr>
    <w:rPr>
      <w:rFonts w:ascii="宋体" w:hAnsi="宋体"/>
      <w:sz w:val="2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正文文本 Char"/>
    <w:basedOn w:val="5"/>
    <w:link w:val="2"/>
    <w:semiHidden/>
    <w:uiPriority w:val="99"/>
    <w:rPr>
      <w:rFonts w:ascii="宋体" w:hAnsi="宋体" w:eastAsia="宋体"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262</Words>
  <Characters>1500</Characters>
  <Lines>12</Lines>
  <Paragraphs>3</Paragraphs>
  <TotalTime>0</TotalTime>
  <ScaleCrop>false</ScaleCrop>
  <LinksUpToDate>false</LinksUpToDate>
  <CharactersWithSpaces>1759</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2017-08-21T04:15:00Z</dcterms:created>
  <dc:creator>Administrator</dc:creator>
  <cp:lastModifiedBy>Administrator</cp:lastModifiedBy>
  <dcterms:modified xsi:type="dcterms:W3CDTF">2017-08-22T01:35:35Z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